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hd w:val="clear" w:color="auto" w:fill="FFFFFF"/>
        <w:spacing w:line="580" w:lineRule="exact"/>
        <w:jc w:val="left"/>
        <w:outlineLvl w:val="1"/>
        <w:rPr>
          <w:rFonts w:hint="eastAsia" w:ascii="仿宋_GB2312" w:hAnsi="华文中宋" w:cs="Arial"/>
          <w:bCs/>
          <w:color w:val="000000"/>
          <w:kern w:val="0"/>
          <w:szCs w:val="44"/>
        </w:rPr>
      </w:pPr>
      <w:r>
        <w:rPr>
          <w:rFonts w:hint="eastAsia" w:ascii="仿宋_GB2312" w:hAnsi="华文中宋" w:cs="Arial"/>
          <w:bCs/>
          <w:color w:val="000000"/>
          <w:kern w:val="0"/>
          <w:szCs w:val="44"/>
        </w:rPr>
        <w:t>附件：</w:t>
      </w:r>
    </w:p>
    <w:p>
      <w:pPr>
        <w:shd w:val="clear" w:color="auto" w:fill="FFFFFF"/>
        <w:spacing w:line="580" w:lineRule="exact"/>
        <w:jc w:val="left"/>
        <w:outlineLvl w:val="1"/>
        <w:rPr>
          <w:rFonts w:hint="eastAsia" w:ascii="仿宋_GB2312" w:hAnsi="华文中宋" w:cs="Arial"/>
          <w:bCs/>
          <w:color w:val="000000"/>
          <w:kern w:val="0"/>
          <w:szCs w:val="44"/>
        </w:rPr>
      </w:pPr>
    </w:p>
    <w:p>
      <w:pPr>
        <w:shd w:val="clear" w:color="auto" w:fill="FFFFFF"/>
        <w:spacing w:line="580" w:lineRule="exact"/>
        <w:jc w:val="center"/>
        <w:outlineLvl w:val="1"/>
        <w:rPr>
          <w:rFonts w:hint="eastAsia" w:ascii="仿宋_GB2312" w:hAnsi="华文中宋" w:cs="Arial"/>
          <w:bCs/>
          <w:color w:val="000000"/>
          <w:kern w:val="0"/>
          <w:szCs w:val="44"/>
        </w:rPr>
      </w:pPr>
      <w:bookmarkStart w:id="0" w:name="_GoBack"/>
      <w:r>
        <w:rPr>
          <w:rFonts w:hint="eastAsia" w:ascii="仿宋_GB2312" w:hAnsi="华文中宋" w:cs="Arial"/>
          <w:bCs/>
          <w:color w:val="000000"/>
          <w:kern w:val="0"/>
          <w:szCs w:val="44"/>
        </w:rPr>
        <w:t>港澳及华侨学生奖学金管理办法</w:t>
      </w:r>
    </w:p>
    <w:bookmarkEnd w:id="0"/>
    <w:p>
      <w:pPr>
        <w:shd w:val="clear" w:color="auto" w:fill="FFFFFF"/>
        <w:spacing w:line="580" w:lineRule="exact"/>
        <w:ind w:firstLine="635" w:firstLineChars="200"/>
        <w:rPr>
          <w:rFonts w:hint="eastAsia" w:ascii="仿宋_GB2312" w:hAnsi="Arial" w:cs="Arial"/>
          <w:b/>
          <w:bCs/>
          <w:color w:val="000000"/>
          <w:kern w:val="0"/>
          <w:szCs w:val="32"/>
        </w:rPr>
      </w:pPr>
    </w:p>
    <w:p>
      <w:pPr>
        <w:shd w:val="clear" w:color="auto" w:fill="FFFFFF"/>
        <w:spacing w:line="580" w:lineRule="exact"/>
        <w:jc w:val="center"/>
        <w:rPr>
          <w:rFonts w:hint="eastAsia" w:ascii="仿宋_GB2312" w:hAnsi="黑体" w:cs="Arial"/>
          <w:color w:val="000000"/>
          <w:kern w:val="0"/>
          <w:szCs w:val="32"/>
        </w:rPr>
      </w:pPr>
      <w:r>
        <w:rPr>
          <w:rFonts w:hint="eastAsia" w:ascii="仿宋_GB2312" w:hAnsi="黑体" w:cs="Arial"/>
          <w:bCs/>
          <w:color w:val="000000"/>
          <w:kern w:val="0"/>
          <w:szCs w:val="32"/>
        </w:rPr>
        <w:t>第一章 总 则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第一条  为鼓励港澳及华侨学生来内地普通高校和科研院所就读，增强他们的祖国观念，激励他们勤奋学习、积极进取，特设立港澳及华侨学生奖学金。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第二条  港澳及华侨学生奖学金资金来源于中央财政，面向在内地普通高校和科研院所就读的全日制港澳本专科学生、硕士和博士研究生及华侨本专科学生。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</w:p>
    <w:p>
      <w:pPr>
        <w:shd w:val="clear" w:color="auto" w:fill="FFFFFF"/>
        <w:spacing w:line="580" w:lineRule="exact"/>
        <w:jc w:val="center"/>
        <w:rPr>
          <w:rFonts w:hint="eastAsia" w:ascii="仿宋_GB2312" w:hAnsi="黑体" w:cs="Arial"/>
          <w:bCs/>
          <w:color w:val="000000"/>
          <w:kern w:val="0"/>
          <w:szCs w:val="32"/>
        </w:rPr>
      </w:pPr>
      <w:r>
        <w:rPr>
          <w:rFonts w:hint="eastAsia" w:ascii="仿宋_GB2312" w:hAnsi="黑体" w:cs="Arial"/>
          <w:bCs/>
          <w:color w:val="000000"/>
          <w:kern w:val="0"/>
          <w:szCs w:val="32"/>
        </w:rPr>
        <w:t>第二章 申请条件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第三条  港澳及华侨学生奖学金申请的基本条件：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 xml:space="preserve">1.热爱祖国，拥护“一国两制”方针； 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2.自觉遵守国家法律、法规，遵守学校各项规章制度；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3.诚实守信，有良好的道德修养；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4.入学考试成绩优秀或在校期间勤奋刻苦、成绩优良。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</w:p>
    <w:p>
      <w:pPr>
        <w:shd w:val="clear" w:color="auto" w:fill="FFFFFF"/>
        <w:spacing w:line="580" w:lineRule="exact"/>
        <w:jc w:val="center"/>
        <w:rPr>
          <w:rFonts w:hint="eastAsia" w:ascii="仿宋_GB2312" w:hAnsi="黑体" w:cs="Arial"/>
          <w:bCs/>
          <w:color w:val="000000"/>
          <w:kern w:val="0"/>
          <w:szCs w:val="32"/>
        </w:rPr>
      </w:pPr>
      <w:r>
        <w:rPr>
          <w:rFonts w:hint="eastAsia" w:ascii="仿宋_GB2312" w:hAnsi="黑体" w:cs="Arial"/>
          <w:bCs/>
          <w:color w:val="000000"/>
          <w:kern w:val="0"/>
          <w:szCs w:val="32"/>
        </w:rPr>
        <w:t>第三章 奖学金类别、等级、名额及奖励标准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第四条  奖学金的类别、等级、名额及奖励标准：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1.本专科学生奖学金，分四个等级，其中，特等奖190人，每生每学年8000元；一等奖1000名，每生每学年6000元；二等奖1600名，每生每学年5000元；三等奖2700名，每生每学年4000元。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2.硕士研究生奖学金，分四个等级，其中，特等奖40人，每生每学年20000元；一等奖50名，每生每学年10000元；二等奖120名，每生每学年7000元；三等奖260名，每生每学年5000元。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3.博士研究生奖学金，分四个等级，其中，特等奖20人，每生每学年30000元；一等奖30名，每生每学年15000元；二等奖60名，每生每学年10000元；三等奖100名，每生每学年7000元。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中央将根据情况变化，适时调整奖学金等级、名额和奖励标准。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</w:p>
    <w:p>
      <w:pPr>
        <w:shd w:val="clear" w:color="auto" w:fill="FFFFFF"/>
        <w:spacing w:line="580" w:lineRule="exact"/>
        <w:ind w:firstLine="632" w:firstLineChars="200"/>
        <w:jc w:val="center"/>
        <w:rPr>
          <w:rFonts w:hint="eastAsia" w:ascii="仿宋_GB2312" w:hAnsi="黑体" w:cs="Arial"/>
          <w:bCs/>
          <w:color w:val="000000"/>
          <w:kern w:val="0"/>
          <w:szCs w:val="32"/>
        </w:rPr>
      </w:pPr>
      <w:r>
        <w:rPr>
          <w:rFonts w:hint="eastAsia" w:ascii="仿宋_GB2312" w:hAnsi="黑体" w:cs="Arial"/>
          <w:bCs/>
          <w:color w:val="000000"/>
          <w:kern w:val="0"/>
          <w:szCs w:val="32"/>
        </w:rPr>
        <w:t>第四章 奖学金的申请、评审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第五条  港澳及华侨在校生奖学金按学年申请和评审，每年10月开始受理申请，当年12月10日前评审完毕。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港澳及华侨学生根据奖学金申请条件，按学年向所在学校或科研院所提出申请，提交《港澳及华侨学生奖学金申请表》(见附表)。奖学金每学年评选一次，符合条件的学生可连续申请。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第六条  港澳及华侨在校生奖学金评审程序：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1.每年9月开学后，各招生单位应及时更新港澳及华侨学生学籍信息。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2.教育部根据各招生单位全日制港澳及华侨学生在读人数等有关数据，经商财政部同意后于每年9月30日前按隶属关系向各有关中央主管部门和省(自治区、直辖市)教育厅(教委)下达奖学金名额。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3.各有关中央主管部门和省(自治区、直辖市)教育厅(教委)按照教育部下达的奖学金名额，确定并下达所属各有关单位的奖学金名额。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4.各有关招生单位根据上级主管部门下达的奖学金名额，受理港澳及华侨学生的申请材料，按照公开、公平、公正的原则组织等额评审，确定初审合格学生名单并公示。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5.公示结束后，各有关招生单位于每年11月10日前将建议获奖学生名单按照隶属关系经主管部门初审后报教育部。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第七条  奖学金的组织申请评审及审批等管理工作由教育部归口管理。教育部对有关主管部门报来的获奖学生名单进行审批，并将审批通过名单下发各有关单位。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</w:p>
    <w:p>
      <w:pPr>
        <w:shd w:val="clear" w:color="auto" w:fill="FFFFFF"/>
        <w:spacing w:line="580" w:lineRule="exact"/>
        <w:jc w:val="center"/>
        <w:rPr>
          <w:rFonts w:hint="eastAsia" w:ascii="仿宋_GB2312" w:hAnsi="黑体" w:cs="Arial"/>
          <w:bCs/>
          <w:color w:val="000000"/>
          <w:kern w:val="0"/>
          <w:szCs w:val="32"/>
        </w:rPr>
      </w:pPr>
      <w:r>
        <w:rPr>
          <w:rFonts w:hint="eastAsia" w:ascii="仿宋_GB2312" w:hAnsi="黑体" w:cs="Arial"/>
          <w:bCs/>
          <w:color w:val="000000"/>
          <w:kern w:val="0"/>
          <w:szCs w:val="32"/>
        </w:rPr>
        <w:t>第五章 奖学金的发放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第八条  财政部按照部门预算管理规定，下达教育部年度奖学金经费预算。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第九条  教育部按程序将资金拨付给有关招生单位。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第十条  各有关招生单位应当按照审批通过的获奖学生名单，于每年12月31日前将奖学金一次性发放给获奖学生。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</w:p>
    <w:p>
      <w:pPr>
        <w:shd w:val="clear" w:color="auto" w:fill="FFFFFF"/>
        <w:spacing w:line="580" w:lineRule="exact"/>
        <w:jc w:val="center"/>
        <w:rPr>
          <w:rFonts w:hint="eastAsia" w:ascii="仿宋_GB2312" w:hAnsi="黑体" w:cs="Arial"/>
          <w:bCs/>
          <w:color w:val="000000"/>
          <w:kern w:val="0"/>
          <w:szCs w:val="32"/>
        </w:rPr>
      </w:pPr>
      <w:r>
        <w:rPr>
          <w:rFonts w:hint="eastAsia" w:ascii="仿宋_GB2312" w:hAnsi="黑体" w:cs="Arial"/>
          <w:bCs/>
          <w:color w:val="000000"/>
          <w:kern w:val="0"/>
          <w:szCs w:val="32"/>
        </w:rPr>
        <w:t>第六章 监督检查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第十一条  各有关招生单位必须以高度的政治责任感做好奖学金管理工作，严格执行国家有关财经法规和本办法规定，加强资金管理，确保奖学金全部用于符合条件的港澳及华侨学生。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第十二条  各有关中央主管部门和省(自治区、直辖市)教育厅(教委)应当对奖学金使用情况进行监督检查，确保奖学金按时发放到位。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第十三条  奖学金资金管理接受审计、教育、财政等部门的监督检查，一旦发现截留、挤占和挪用等违法违纪行为，依照有关法律法规的规定追究相应责任。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第十四条  各级财政、教育部门及其工作人员在资金审核、分配等审批工作中，存在违反规定分配资金、向不符合条件的单位（或个人）分配资金、擅自超出规定的范围或标准分配资金，以及其他滥用职权、玩忽职守、徇私舞弊等违法违纪行为的，按照《中华人民共和国预算法》、《中华人民共和国公务员法》、《中华人民共和国行政监察法》、《财政违法行为处罚处分条例》等国家有关规定追究相应责任；涉嫌犯罪的，移送司法机关处理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第十五条  对于获奖学生，招生单位应继续加强管理，如出现以下情况之一的，应取消其获奖资格并及时向上级主管部门报告：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 xml:space="preserve">1. 有反对“一国两制”的言论或行为； 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2.触犯国家法律、法规，参加非法社团组织；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3.违反校规、校纪。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</w:p>
    <w:p>
      <w:pPr>
        <w:shd w:val="clear" w:color="auto" w:fill="FFFFFF"/>
        <w:spacing w:line="580" w:lineRule="exact"/>
        <w:jc w:val="center"/>
        <w:rPr>
          <w:rFonts w:hint="eastAsia" w:ascii="仿宋_GB2312" w:hAnsi="黑体" w:cs="Arial"/>
          <w:bCs/>
          <w:color w:val="000000"/>
          <w:kern w:val="0"/>
          <w:szCs w:val="32"/>
        </w:rPr>
      </w:pPr>
      <w:r>
        <w:rPr>
          <w:rFonts w:hint="eastAsia" w:ascii="仿宋_GB2312" w:hAnsi="黑体" w:cs="Arial"/>
          <w:bCs/>
          <w:color w:val="000000"/>
          <w:kern w:val="0"/>
          <w:szCs w:val="32"/>
        </w:rPr>
        <w:t>第七章 附 则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第十六条 本办法由财政部、教育部负责解释。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第十七条 本办法自印发之日起施行。原《港澳及华侨学生奖学金管理暂行办法》（财教〔2006〕129号）同时废止。</w:t>
      </w:r>
      <w:r>
        <w:rPr>
          <w:rFonts w:hint="eastAsia" w:ascii="仿宋_GB2312" w:hAnsi="Arial" w:cs="Arial"/>
          <w:color w:val="000000"/>
          <w:kern w:val="0"/>
          <w:szCs w:val="32"/>
          <w:vertAlign w:val="superscript"/>
        </w:rPr>
        <w:t xml:space="preserve"> </w:t>
      </w:r>
    </w:p>
    <w:p>
      <w:pPr>
        <w:shd w:val="clear" w:color="auto" w:fill="FFFFFF"/>
        <w:spacing w:line="580" w:lineRule="exact"/>
        <w:ind w:firstLine="632" w:firstLineChars="200"/>
        <w:rPr>
          <w:rFonts w:hint="eastAsia" w:ascii="仿宋_GB2312" w:hAnsi="Arial" w:cs="Arial"/>
          <w:color w:val="000000"/>
          <w:kern w:val="0"/>
          <w:szCs w:val="32"/>
        </w:rPr>
      </w:pPr>
      <w:r>
        <w:rPr>
          <w:rFonts w:hint="eastAsia" w:ascii="仿宋_GB2312" w:hAnsi="Arial" w:cs="Arial"/>
          <w:color w:val="000000"/>
          <w:kern w:val="0"/>
          <w:szCs w:val="32"/>
        </w:rPr>
        <w:t>附表：港澳及华侨学生奖学金申请表</w:t>
      </w:r>
    </w:p>
    <w:p>
      <w:pPr>
        <w:shd w:val="clear" w:color="auto" w:fill="FFFFFF"/>
        <w:spacing w:line="580" w:lineRule="exact"/>
        <w:ind w:firstLine="632" w:firstLineChars="200"/>
        <w:rPr>
          <w:rFonts w:ascii="仿宋_GB2312" w:hAnsi="Arial" w:cs="Arial"/>
          <w:color w:val="000000"/>
          <w:kern w:val="0"/>
          <w:szCs w:val="32"/>
        </w:rPr>
      </w:pPr>
    </w:p>
    <w:p>
      <w:pPr>
        <w:pageBreakBefore/>
        <w:shd w:val="clear" w:color="auto" w:fill="FFFFFF"/>
        <w:spacing w:line="580" w:lineRule="exact"/>
        <w:jc w:val="left"/>
        <w:rPr>
          <w:rFonts w:ascii="黑体" w:hAnsi="黑体" w:eastAsia="黑体" w:cs="Arial"/>
          <w:color w:val="000000"/>
          <w:kern w:val="0"/>
          <w:sz w:val="28"/>
          <w:szCs w:val="32"/>
        </w:rPr>
      </w:pPr>
      <w:r>
        <w:rPr>
          <w:rFonts w:hint="eastAsia" w:ascii="黑体" w:hAnsi="黑体" w:eastAsia="黑体" w:cs="Arial"/>
          <w:color w:val="000000"/>
          <w:kern w:val="0"/>
          <w:sz w:val="28"/>
          <w:szCs w:val="32"/>
        </w:rPr>
        <w:t>附表：</w:t>
      </w:r>
    </w:p>
    <w:p>
      <w:pPr>
        <w:shd w:val="clear" w:color="auto" w:fill="FFFFFF"/>
        <w:spacing w:line="580" w:lineRule="exact"/>
        <w:jc w:val="center"/>
        <w:rPr>
          <w:rFonts w:ascii="黑体" w:hAnsi="黑体" w:eastAsia="黑体" w:cs="Arial"/>
          <w:color w:val="000000"/>
          <w:kern w:val="0"/>
          <w:szCs w:val="32"/>
        </w:rPr>
      </w:pPr>
      <w:r>
        <w:rPr>
          <w:rFonts w:hint="eastAsia" w:ascii="黑体" w:hAnsi="黑体" w:eastAsia="黑体" w:cs="Arial"/>
          <w:color w:val="000000"/>
          <w:kern w:val="0"/>
          <w:szCs w:val="32"/>
        </w:rPr>
        <w:t>港澳及华侨学生奖学金申请表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1002"/>
        <w:gridCol w:w="1432"/>
        <w:gridCol w:w="860"/>
        <w:gridCol w:w="1002"/>
        <w:gridCol w:w="1433"/>
        <w:gridCol w:w="23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551" w:hRule="atLeast"/>
        </w:trPr>
        <w:tc>
          <w:tcPr>
            <w:tcW w:w="539" w:type="dxa"/>
            <w:vMerge w:val="restart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  <w:r>
              <w:rPr>
                <w:rFonts w:hint="eastAsia" w:ascii="仿宋_GB2312" w:hAnsi="黑体"/>
                <w:color w:val="000000"/>
                <w:sz w:val="21"/>
                <w:szCs w:val="32"/>
              </w:rPr>
              <w:t>本人情况</w:t>
            </w:r>
          </w:p>
        </w:tc>
        <w:tc>
          <w:tcPr>
            <w:tcW w:w="1002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  <w:r>
              <w:rPr>
                <w:rFonts w:hint="eastAsia" w:ascii="仿宋_GB2312" w:hAnsi="黑体"/>
                <w:color w:val="000000"/>
                <w:sz w:val="21"/>
                <w:szCs w:val="32"/>
              </w:rPr>
              <w:t>姓名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  <w:r>
              <w:rPr>
                <w:rFonts w:hint="eastAsia" w:ascii="仿宋_GB2312" w:hAnsi="黑体"/>
                <w:color w:val="000000"/>
                <w:sz w:val="21"/>
                <w:szCs w:val="32"/>
              </w:rPr>
              <w:t>性别</w:t>
            </w:r>
          </w:p>
        </w:tc>
        <w:tc>
          <w:tcPr>
            <w:tcW w:w="1002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</w:p>
        </w:tc>
        <w:tc>
          <w:tcPr>
            <w:tcW w:w="1433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  <w:r>
              <w:rPr>
                <w:rFonts w:hint="eastAsia" w:ascii="仿宋_GB2312" w:hAnsi="黑体"/>
                <w:color w:val="000000"/>
                <w:sz w:val="21"/>
                <w:szCs w:val="32"/>
              </w:rPr>
              <w:t>出生年月</w:t>
            </w:r>
          </w:p>
        </w:tc>
        <w:tc>
          <w:tcPr>
            <w:tcW w:w="2343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39" w:hRule="atLeast"/>
        </w:trPr>
        <w:tc>
          <w:tcPr>
            <w:tcW w:w="539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</w:p>
        </w:tc>
        <w:tc>
          <w:tcPr>
            <w:tcW w:w="1002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  <w:r>
              <w:rPr>
                <w:rFonts w:hint="eastAsia" w:ascii="仿宋_GB2312" w:hAnsi="黑体"/>
                <w:color w:val="000000"/>
                <w:sz w:val="21"/>
                <w:szCs w:val="32"/>
              </w:rPr>
              <w:t>学号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</w:p>
        </w:tc>
        <w:tc>
          <w:tcPr>
            <w:tcW w:w="1002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</w:p>
        </w:tc>
        <w:tc>
          <w:tcPr>
            <w:tcW w:w="1433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  <w:r>
              <w:rPr>
                <w:rFonts w:hint="eastAsia" w:ascii="仿宋_GB2312" w:hAnsi="黑体"/>
                <w:color w:val="000000"/>
                <w:sz w:val="21"/>
                <w:szCs w:val="32"/>
              </w:rPr>
              <w:t>入学时间</w:t>
            </w:r>
          </w:p>
        </w:tc>
        <w:tc>
          <w:tcPr>
            <w:tcW w:w="2343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22" w:hRule="atLeast"/>
        </w:trPr>
        <w:tc>
          <w:tcPr>
            <w:tcW w:w="539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</w:p>
        </w:tc>
        <w:tc>
          <w:tcPr>
            <w:tcW w:w="8073" w:type="dxa"/>
            <w:gridSpan w:val="6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  <w:r>
              <w:rPr>
                <w:rFonts w:hint="eastAsia" w:ascii="仿宋_GB2312" w:hAnsi="黑体"/>
                <w:color w:val="000000"/>
                <w:sz w:val="21"/>
                <w:szCs w:val="32"/>
              </w:rPr>
              <w:t>大学            学院             系             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365" w:hRule="atLeast"/>
        </w:trPr>
        <w:tc>
          <w:tcPr>
            <w:tcW w:w="539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  <w:r>
              <w:rPr>
                <w:rFonts w:hint="eastAsia" w:ascii="仿宋_GB2312" w:hAnsi="黑体"/>
                <w:color w:val="000000"/>
                <w:sz w:val="21"/>
                <w:szCs w:val="32"/>
              </w:rPr>
              <w:t>曾获奖励情况</w:t>
            </w:r>
          </w:p>
        </w:tc>
        <w:tc>
          <w:tcPr>
            <w:tcW w:w="8073" w:type="dxa"/>
            <w:gridSpan w:val="6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黑体"/>
                <w:color w:val="000000"/>
                <w:sz w:val="21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13" w:hRule="atLeast"/>
        </w:trPr>
        <w:tc>
          <w:tcPr>
            <w:tcW w:w="8612" w:type="dxa"/>
            <w:gridSpan w:val="7"/>
            <w:noWrap w:val="0"/>
            <w:vAlign w:val="center"/>
          </w:tcPr>
          <w:p>
            <w:pPr>
              <w:spacing w:line="580" w:lineRule="exact"/>
              <w:rPr>
                <w:rFonts w:ascii="仿宋_GB2312" w:hAnsi="黑体"/>
                <w:color w:val="000000"/>
                <w:sz w:val="21"/>
                <w:szCs w:val="32"/>
              </w:rPr>
            </w:pPr>
            <w:r>
              <w:rPr>
                <w:rFonts w:hint="eastAsia" w:ascii="仿宋_GB2312" w:hAnsi="黑体"/>
                <w:color w:val="000000"/>
                <w:sz w:val="21"/>
                <w:szCs w:val="32"/>
              </w:rPr>
              <w:t>申请理由：</w:t>
            </w:r>
          </w:p>
          <w:p>
            <w:pPr>
              <w:spacing w:line="580" w:lineRule="exact"/>
              <w:rPr>
                <w:rFonts w:ascii="仿宋_GB2312" w:hAnsi="黑体"/>
                <w:color w:val="000000"/>
                <w:sz w:val="21"/>
                <w:szCs w:val="32"/>
              </w:rPr>
            </w:pPr>
          </w:p>
          <w:p>
            <w:pPr>
              <w:spacing w:line="580" w:lineRule="exact"/>
              <w:rPr>
                <w:rFonts w:ascii="仿宋_GB2312" w:hAnsi="黑体"/>
                <w:color w:val="000000"/>
                <w:sz w:val="21"/>
                <w:szCs w:val="32"/>
              </w:rPr>
            </w:pPr>
          </w:p>
          <w:p>
            <w:pPr>
              <w:spacing w:line="580" w:lineRule="exact"/>
              <w:rPr>
                <w:rFonts w:ascii="仿宋_GB2312" w:hAnsi="黑体"/>
                <w:color w:val="000000"/>
                <w:sz w:val="21"/>
                <w:szCs w:val="32"/>
              </w:rPr>
            </w:pPr>
          </w:p>
          <w:p>
            <w:pPr>
              <w:spacing w:line="580" w:lineRule="exact"/>
              <w:rPr>
                <w:rFonts w:ascii="仿宋_GB2312" w:hAnsi="黑体"/>
                <w:color w:val="000000"/>
                <w:sz w:val="21"/>
                <w:szCs w:val="32"/>
              </w:rPr>
            </w:pPr>
          </w:p>
          <w:p>
            <w:pPr>
              <w:spacing w:line="580" w:lineRule="exact"/>
              <w:ind w:firstLine="1236" w:firstLineChars="600"/>
              <w:rPr>
                <w:rFonts w:ascii="仿宋_GB2312" w:hAnsi="黑体"/>
                <w:color w:val="000000"/>
                <w:sz w:val="21"/>
                <w:szCs w:val="32"/>
              </w:rPr>
            </w:pPr>
            <w:r>
              <w:rPr>
                <w:rFonts w:hint="eastAsia" w:ascii="仿宋_GB2312" w:hAnsi="黑体"/>
                <w:color w:val="000000"/>
                <w:sz w:val="21"/>
                <w:szCs w:val="32"/>
              </w:rPr>
              <w:t>申请人签名：                                   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272" w:hRule="atLeast"/>
        </w:trPr>
        <w:tc>
          <w:tcPr>
            <w:tcW w:w="8612" w:type="dxa"/>
            <w:gridSpan w:val="7"/>
            <w:noWrap w:val="0"/>
            <w:vAlign w:val="center"/>
          </w:tcPr>
          <w:p>
            <w:pPr>
              <w:spacing w:line="580" w:lineRule="exact"/>
              <w:rPr>
                <w:rFonts w:ascii="仿宋_GB2312" w:hAnsi="黑体"/>
                <w:color w:val="000000"/>
                <w:sz w:val="21"/>
                <w:szCs w:val="32"/>
              </w:rPr>
            </w:pPr>
            <w:r>
              <w:rPr>
                <w:rFonts w:hint="eastAsia" w:ascii="仿宋_GB2312" w:hAnsi="黑体"/>
                <w:color w:val="000000"/>
                <w:sz w:val="21"/>
                <w:szCs w:val="32"/>
              </w:rPr>
              <w:t>学校审核意见：</w:t>
            </w:r>
          </w:p>
          <w:p>
            <w:pPr>
              <w:spacing w:line="580" w:lineRule="exact"/>
              <w:rPr>
                <w:rFonts w:ascii="仿宋_GB2312" w:hAnsi="黑体"/>
                <w:color w:val="000000"/>
                <w:sz w:val="21"/>
                <w:szCs w:val="32"/>
              </w:rPr>
            </w:pPr>
          </w:p>
          <w:p>
            <w:pPr>
              <w:spacing w:line="580" w:lineRule="exact"/>
              <w:rPr>
                <w:rFonts w:ascii="仿宋_GB2312" w:hAnsi="黑体"/>
                <w:color w:val="000000"/>
                <w:sz w:val="21"/>
                <w:szCs w:val="32"/>
              </w:rPr>
            </w:pPr>
          </w:p>
          <w:p>
            <w:pPr>
              <w:spacing w:line="580" w:lineRule="exact"/>
              <w:ind w:firstLine="2060" w:firstLineChars="1000"/>
              <w:rPr>
                <w:rFonts w:ascii="仿宋_GB2312" w:hAnsi="黑体"/>
                <w:color w:val="000000"/>
                <w:sz w:val="21"/>
                <w:szCs w:val="32"/>
              </w:rPr>
            </w:pPr>
            <w:r>
              <w:rPr>
                <w:rFonts w:hint="eastAsia" w:ascii="仿宋_GB2312" w:hAnsi="黑体"/>
                <w:color w:val="000000"/>
                <w:sz w:val="21"/>
                <w:szCs w:val="32"/>
              </w:rPr>
              <w:t>（公章）                              年      月     日</w:t>
            </w:r>
          </w:p>
        </w:tc>
      </w:tr>
    </w:tbl>
    <w:p>
      <w:pPr>
        <w:spacing w:line="40" w:lineRule="exact"/>
        <w:ind w:right="284"/>
        <w:jc w:val="left"/>
        <w:rPr>
          <w:sz w:val="4"/>
          <w:szCs w:val="4"/>
        </w:rPr>
      </w:pPr>
    </w:p>
    <w:sectPr>
      <w:footerReference r:id="rId5" w:type="default"/>
      <w:footerReference r:id="rId6" w:type="even"/>
      <w:pgSz w:w="11906" w:h="16838"/>
      <w:pgMar w:top="1644" w:right="1480" w:bottom="1984" w:left="1480" w:header="851" w:footer="907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="2055" w:wrap="around" w:vAnchor="text" w:hAnchor="page" w:x="8321" w:y="-310"/>
      <w:spacing w:line="0" w:lineRule="atLeast"/>
      <w:ind w:right="345"/>
      <w:jc w:val="right"/>
      <w:rPr>
        <w:rStyle w:val="9"/>
        <w:sz w:val="28"/>
      </w:rPr>
    </w:pPr>
    <w:r>
      <w:rPr>
        <w:rStyle w:val="9"/>
        <w:rFonts w:hint="eastAsia" w:ascii="仿宋_GB2312"/>
        <w:sz w:val="28"/>
      </w:rPr>
      <w:t xml:space="preserve">— </w:t>
    </w:r>
    <w:r>
      <w:rPr>
        <w:sz w:val="28"/>
      </w:rPr>
      <w:fldChar w:fldCharType="begin"/>
    </w:r>
    <w:r>
      <w:rPr>
        <w:rStyle w:val="9"/>
        <w:sz w:val="28"/>
      </w:rPr>
      <w:instrText xml:space="preserve">PAGE  </w:instrText>
    </w:r>
    <w:r>
      <w:rPr>
        <w:sz w:val="28"/>
      </w:rPr>
      <w:fldChar w:fldCharType="separate"/>
    </w:r>
    <w:r>
      <w:rPr>
        <w:rStyle w:val="9"/>
        <w:sz w:val="28"/>
        <w:lang/>
      </w:rPr>
      <w:t>1</w:t>
    </w:r>
    <w:r>
      <w:rPr>
        <w:sz w:val="28"/>
      </w:rPr>
      <w:fldChar w:fldCharType="end"/>
    </w:r>
    <w:r>
      <w:rPr>
        <w:rStyle w:val="9"/>
        <w:rFonts w:hint="eastAsia"/>
        <w:sz w:val="28"/>
      </w:rPr>
      <w:t xml:space="preserve"> </w:t>
    </w:r>
    <w:r>
      <w:rPr>
        <w:rStyle w:val="9"/>
        <w:rFonts w:hint="eastAsia" w:ascii="仿宋_GB2312"/>
        <w:sz w:val="28"/>
      </w:rPr>
      <w:t>—</w:t>
    </w:r>
  </w:p>
  <w:p>
    <w:pPr>
      <w:pStyle w:val="4"/>
      <w:tabs>
        <w:tab w:val="clear" w:pos="8306"/>
      </w:tabs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="1596" w:wrap="around" w:vAnchor="text" w:hAnchor="page" w:x="1823" w:y="-310"/>
      <w:spacing w:line="240" w:lineRule="auto"/>
      <w:jc w:val="both"/>
      <w:rPr>
        <w:rStyle w:val="9"/>
        <w:sz w:val="28"/>
      </w:rPr>
    </w:pPr>
    <w:r>
      <w:rPr>
        <w:rStyle w:val="9"/>
        <w:rFonts w:hint="eastAsia" w:ascii="仿宋_GB2312"/>
        <w:sz w:val="28"/>
      </w:rPr>
      <w:t xml:space="preserve">— </w:t>
    </w:r>
    <w:r>
      <w:rPr>
        <w:sz w:val="28"/>
      </w:rPr>
      <w:fldChar w:fldCharType="begin"/>
    </w:r>
    <w:r>
      <w:rPr>
        <w:rStyle w:val="9"/>
        <w:sz w:val="28"/>
      </w:rPr>
      <w:instrText xml:space="preserve">PAGE  </w:instrText>
    </w:r>
    <w:r>
      <w:rPr>
        <w:sz w:val="28"/>
      </w:rPr>
      <w:fldChar w:fldCharType="separate"/>
    </w:r>
    <w:r>
      <w:rPr>
        <w:rStyle w:val="9"/>
        <w:sz w:val="28"/>
      </w:rPr>
      <w:t>2</w:t>
    </w:r>
    <w:r>
      <w:rPr>
        <w:sz w:val="28"/>
      </w:rPr>
      <w:fldChar w:fldCharType="end"/>
    </w:r>
    <w:r>
      <w:rPr>
        <w:rStyle w:val="9"/>
        <w:rFonts w:hint="eastAsia"/>
        <w:sz w:val="28"/>
      </w:rPr>
      <w:t xml:space="preserve"> </w:t>
    </w:r>
    <w:r>
      <w:rPr>
        <w:rStyle w:val="9"/>
        <w:rFonts w:hint="eastAsia" w:ascii="仿宋_GB2312"/>
        <w:sz w:val="28"/>
      </w:rPr>
      <w:t>—</w:t>
    </w:r>
  </w:p>
  <w:p>
    <w:pPr>
      <w:pStyle w:val="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427"/>
    <w:rsid w:val="00006A64"/>
    <w:rsid w:val="00010CAB"/>
    <w:rsid w:val="00012268"/>
    <w:rsid w:val="00022BE4"/>
    <w:rsid w:val="000443F5"/>
    <w:rsid w:val="00082D3B"/>
    <w:rsid w:val="000B17C1"/>
    <w:rsid w:val="000C1A10"/>
    <w:rsid w:val="0019565B"/>
    <w:rsid w:val="001F6E44"/>
    <w:rsid w:val="00206BF3"/>
    <w:rsid w:val="00234944"/>
    <w:rsid w:val="00254BC8"/>
    <w:rsid w:val="00265642"/>
    <w:rsid w:val="002F03E4"/>
    <w:rsid w:val="002F182B"/>
    <w:rsid w:val="002F7CE1"/>
    <w:rsid w:val="00350721"/>
    <w:rsid w:val="0036535C"/>
    <w:rsid w:val="00381240"/>
    <w:rsid w:val="003873A3"/>
    <w:rsid w:val="003911A6"/>
    <w:rsid w:val="00391BBA"/>
    <w:rsid w:val="003F4DAB"/>
    <w:rsid w:val="00451AD0"/>
    <w:rsid w:val="00491CF3"/>
    <w:rsid w:val="004A4BF6"/>
    <w:rsid w:val="004B05AD"/>
    <w:rsid w:val="004E7689"/>
    <w:rsid w:val="00507066"/>
    <w:rsid w:val="00552EB3"/>
    <w:rsid w:val="005540E2"/>
    <w:rsid w:val="005720FC"/>
    <w:rsid w:val="00597E60"/>
    <w:rsid w:val="005A4FA3"/>
    <w:rsid w:val="0063345D"/>
    <w:rsid w:val="006455E3"/>
    <w:rsid w:val="006E75D5"/>
    <w:rsid w:val="00726427"/>
    <w:rsid w:val="007334BE"/>
    <w:rsid w:val="00771A0D"/>
    <w:rsid w:val="007C4C80"/>
    <w:rsid w:val="007E0279"/>
    <w:rsid w:val="00842CB8"/>
    <w:rsid w:val="00845523"/>
    <w:rsid w:val="0085142D"/>
    <w:rsid w:val="00864F71"/>
    <w:rsid w:val="00943A31"/>
    <w:rsid w:val="0096219B"/>
    <w:rsid w:val="009838B5"/>
    <w:rsid w:val="009B5D87"/>
    <w:rsid w:val="009E65D8"/>
    <w:rsid w:val="00A21A54"/>
    <w:rsid w:val="00A307F2"/>
    <w:rsid w:val="00A629AD"/>
    <w:rsid w:val="00A73382"/>
    <w:rsid w:val="00A94886"/>
    <w:rsid w:val="00AC32A7"/>
    <w:rsid w:val="00B66D80"/>
    <w:rsid w:val="00B86976"/>
    <w:rsid w:val="00BA180F"/>
    <w:rsid w:val="00BE4BFF"/>
    <w:rsid w:val="00C154B8"/>
    <w:rsid w:val="00C255CA"/>
    <w:rsid w:val="00C37907"/>
    <w:rsid w:val="00C51533"/>
    <w:rsid w:val="00C549BC"/>
    <w:rsid w:val="00CA3B72"/>
    <w:rsid w:val="00D40B4D"/>
    <w:rsid w:val="00D5431B"/>
    <w:rsid w:val="00D73B7C"/>
    <w:rsid w:val="00DB3F99"/>
    <w:rsid w:val="00DC6257"/>
    <w:rsid w:val="00DE3541"/>
    <w:rsid w:val="00E324BB"/>
    <w:rsid w:val="00E7509F"/>
    <w:rsid w:val="00E75ABF"/>
    <w:rsid w:val="00EC183F"/>
    <w:rsid w:val="00EF4BA6"/>
    <w:rsid w:val="00F05CA0"/>
    <w:rsid w:val="00F135C7"/>
    <w:rsid w:val="00F423AF"/>
    <w:rsid w:val="00F57B5A"/>
    <w:rsid w:val="00FC68EE"/>
    <w:rsid w:val="033E45BA"/>
    <w:rsid w:val="0BB922A2"/>
    <w:rsid w:val="11F06161"/>
    <w:rsid w:val="12357A45"/>
    <w:rsid w:val="18B40B04"/>
    <w:rsid w:val="1A2C2647"/>
    <w:rsid w:val="3255128B"/>
    <w:rsid w:val="4105235B"/>
    <w:rsid w:val="46704FFC"/>
    <w:rsid w:val="4D1E419F"/>
    <w:rsid w:val="52842FEF"/>
    <w:rsid w:val="542052D4"/>
    <w:rsid w:val="56787B90"/>
    <w:rsid w:val="59466053"/>
    <w:rsid w:val="5C365206"/>
    <w:rsid w:val="687B0A58"/>
    <w:rsid w:val="6B45300E"/>
    <w:rsid w:val="6E113FF3"/>
    <w:rsid w:val="79BB3D39"/>
    <w:rsid w:val="7DD208D8"/>
    <w:rsid w:val="7E9A56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  <w:snapToGrid w:val="0"/>
      <w:spacing w:line="588" w:lineRule="atLeast"/>
      <w:jc w:val="both"/>
    </w:pPr>
    <w:rPr>
      <w:rFonts w:ascii="宋体" w:hAnsi="宋体" w:eastAsia="仿宋_GB2312"/>
      <w:spacing w:val="-2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0"/>
    <w:rPr>
      <w:kern w:val="0"/>
    </w:rPr>
  </w:style>
  <w:style w:type="paragraph" w:styleId="3">
    <w:name w:val="Balloon Text"/>
    <w:basedOn w:val="1"/>
    <w:link w:val="13"/>
    <w:unhideWhenUsed/>
    <w:qFormat/>
    <w:uiPriority w:val="99"/>
    <w:pPr>
      <w:spacing w:line="240" w:lineRule="auto"/>
    </w:pPr>
    <w:rPr>
      <w:kern w:val="0"/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jc w:val="left"/>
    </w:pPr>
    <w:rPr>
      <w:kern w:val="0"/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tLeast"/>
      <w:jc w:val="center"/>
    </w:pPr>
    <w:rPr>
      <w:kern w:val="0"/>
      <w:sz w:val="18"/>
      <w:szCs w:val="18"/>
    </w:rPr>
  </w:style>
  <w:style w:type="table" w:styleId="7">
    <w:name w:val="Table Grid"/>
    <w:basedOn w:val="6"/>
    <w:uiPriority w:val="59"/>
    <w:pPr>
      <w:widowControl w:val="0"/>
      <w:jc w:val="both"/>
    </w:pPr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customStyle="1" w:styleId="10">
    <w:name w:val="正文文本 Char"/>
    <w:link w:val="2"/>
    <w:qFormat/>
    <w:uiPriority w:val="0"/>
    <w:rPr>
      <w:rFonts w:ascii="宋体" w:hAnsi="宋体" w:eastAsia="仿宋_GB2312" w:cs="Times New Roman"/>
      <w:spacing w:val="-2"/>
      <w:sz w:val="32"/>
      <w:szCs w:val="24"/>
    </w:rPr>
  </w:style>
  <w:style w:type="character" w:customStyle="1" w:styleId="11">
    <w:name w:val="页眉 Char"/>
    <w:link w:val="5"/>
    <w:semiHidden/>
    <w:qFormat/>
    <w:uiPriority w:val="99"/>
    <w:rPr>
      <w:rFonts w:ascii="宋体" w:hAnsi="宋体" w:eastAsia="仿宋_GB2312" w:cs="Times New Roman"/>
      <w:spacing w:val="-2"/>
      <w:sz w:val="18"/>
      <w:szCs w:val="18"/>
    </w:rPr>
  </w:style>
  <w:style w:type="character" w:customStyle="1" w:styleId="12">
    <w:name w:val="页脚 Char"/>
    <w:link w:val="4"/>
    <w:qFormat/>
    <w:uiPriority w:val="0"/>
    <w:rPr>
      <w:rFonts w:ascii="宋体" w:hAnsi="宋体" w:eastAsia="仿宋_GB2312" w:cs="Times New Roman"/>
      <w:spacing w:val="-2"/>
      <w:sz w:val="18"/>
      <w:szCs w:val="18"/>
    </w:rPr>
  </w:style>
  <w:style w:type="character" w:customStyle="1" w:styleId="13">
    <w:name w:val="批注框文本 Char"/>
    <w:link w:val="3"/>
    <w:semiHidden/>
    <w:qFormat/>
    <w:uiPriority w:val="99"/>
    <w:rPr>
      <w:rFonts w:ascii="宋体" w:hAnsi="宋体" w:eastAsia="仿宋_GB2312" w:cs="Times New Roman"/>
      <w:spacing w:val="-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332</Words>
  <Characters>1896</Characters>
  <Lines>15</Lines>
  <Paragraphs>4</Paragraphs>
  <TotalTime>0</TotalTime>
  <ScaleCrop>false</ScaleCrop>
  <LinksUpToDate>false</LinksUpToDate>
  <CharactersWithSpaces>2224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2017-11-15T06:40:00Z</dcterms:created>
  <dc:creator>吴迪晓</dc:creator>
  <cp:lastModifiedBy>古布</cp:lastModifiedBy>
  <cp:lastPrinted>2017-01-11T06:16:00Z</cp:lastPrinted>
  <dcterms:modified xsi:type="dcterms:W3CDTF">2023-11-09T10:11:11Z</dcterms:modified>
  <dc:title>000001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51BE9316A2A44051A930CB8A4C4A7927_13</vt:lpwstr>
  </property>
</Properties>
</file>